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 Padituri: _________________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___________,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 për refuzimin e kompensimit material për personat e verbër në kategorinë e parë me numër___________ </w:t>
      </w:r>
      <w:r>
        <w:rPr>
          <w:rFonts w:ascii="'Times New Roman'" w:hAnsi="'Times New Roman'" w:eastAsia="'Times New Roman'" w:cs="'Times New Roman'"/>
        </w:rPr>
        <w:t xml:space="preserve">, i datës ______ </w:t>
      </w:r>
      <w:r>
        <w:rPr>
          <w:rFonts w:ascii="'Times New Roman'" w:hAnsi="'Times New Roman'" w:eastAsia="'Times New Roman'" w:cs="'Times New Roman'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  <w:b w:val="1"/>
          <w:bCs w:val="1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Vendimit për refuzimin e kompensimit material për personat e verbër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 padi për konfliktin administrativ paraqitet brenda afatit ligjor dhe duke u bazuar në nenin 13, paragrafi 2 i Ligjit Nr. 03/L-202 për Konfliktet Administrative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 vazhdim “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LKA</w:t>
      </w:r>
      <w:r>
        <w:rPr>
          <w:rFonts w:ascii="'Times New Roman'" w:hAnsi="'Times New Roman'" w:eastAsia="'Times New Roman'" w:cs="'Times New Roman'"/>
        </w:rPr>
        <w:t xml:space="preserve">”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>
          <w:rFonts w:ascii="'Times New Roman'" w:hAnsi="'Times New Roman'" w:eastAsia="'Times New Roman'" w:cs="'Times New Roman'"/>
        </w:rPr>
        <w:t xml:space="preserve">, që parasheh se konflikti administrativ mund të fillohet edhe kundër aktit administrative të shkallës së parë, kundër të cilit në procedurën administrative ankimi nuk ëshët i lejuar; nenin 26, paragrafi 1 dhe 2.1 LKA që parashohin se me padi për konfliktin administrativ mund të kërkohet anulimi apo shpallja e pavlefshme e aktit të kontestuar; në përputhje me nenin 19 të Ligjit nr. 04/L-092 për personat e verbër, si dhe në përputhje me këshillën juridike të Vendimit të Kontestuar. Vendimi i Kontestuar është pranuar nga paditësi më datë 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PASQYRA FAKTIKE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 për refuzimin e kompensimit material për personat e verbër në kategorinë e parë është i padrejtë dhe nuk është në përputhje me ligjin dhe rregulloret përkatëse.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në tërësi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aditësit 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ANULOHET: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Vendimi për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, i lëshuar nga 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2026-06-06T00:42:27+00:00</dcterms:created>
  <dcterms:modified xsi:type="dcterms:W3CDTF">2026-06-06T00:42:27+00:00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