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Osporenika odluka:</w:t>
      </w:r>
      <w:br/>
      <w:r>
        <w:rPr>
          <w:rFonts w:ascii="'Times New Roman'" w:hAnsi="'Times New Roman'" w:eastAsia="'Times New Roman'" w:cs="'Times New Roman'"/>
        </w:rPr>
        <w:t xml:space="preserve">(1) Odluka o odbijanju materijalne naknade za slepe osobe prve kategorije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materijalne naknade za slepe osobe</w:t>
      </w:r>
    </w:p>
    <w:p>
      <w:pPr/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19 Zakona br. 04/L-092 o slepim osobama, kao i u skladu sa pravnim savetom Osporenih Odluka. Osporenik odluka je primljena od strane tužioca dana 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materijalne naknade za slepe osobe prve kategorije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______ , koju je donela ____________ ;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2026-04-17T05:40:40+00:00</dcterms:created>
  <dcterms:modified xsi:type="dcterms:W3CDTF">2026-04-17T05:40:40+00:00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